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2FBB" w14:textId="77777777" w:rsidR="00872B91" w:rsidRPr="00872B91" w:rsidRDefault="00872B91" w:rsidP="00872B91">
      <w:pPr>
        <w:spacing w:after="0" w:line="20" w:lineRule="atLeast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</w:pPr>
    </w:p>
    <w:p w14:paraId="538EF190" w14:textId="77777777" w:rsidR="00DA7993" w:rsidRPr="00DA7993" w:rsidRDefault="00DA7993" w:rsidP="00DA7993">
      <w:pPr>
        <w:spacing w:after="0" w:line="20" w:lineRule="atLeast"/>
        <w:rPr>
          <w:rFonts w:ascii="Times New Roman" w:eastAsia="Times New Roman" w:hAnsi="Times New Roman" w:cs="Times New Roman"/>
          <w:kern w:val="0"/>
          <w:lang w:eastAsia="bg-BG"/>
          <w14:ligatures w14:val="none"/>
        </w:rPr>
      </w:pPr>
      <w:r w:rsidRPr="00DA7993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                                                                                   </w:t>
      </w:r>
      <w:r w:rsidRPr="00DA799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>Утвърдил:………………………..</w:t>
      </w:r>
    </w:p>
    <w:p w14:paraId="2DD5F36F" w14:textId="77777777" w:rsidR="00DA7993" w:rsidRPr="00DA7993" w:rsidRDefault="00DA7993" w:rsidP="00DA7993">
      <w:pPr>
        <w:spacing w:after="0" w:line="2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lang w:eastAsia="bg-BG"/>
          <w14:ligatures w14:val="none"/>
        </w:rPr>
        <w:t xml:space="preserve">                                                                                                                   /Таня Иванова/</w:t>
      </w:r>
    </w:p>
    <w:p w14:paraId="03E8C62A" w14:textId="77777777" w:rsidR="00DA7993" w:rsidRPr="00DA7993" w:rsidRDefault="00DA7993" w:rsidP="00DA7993">
      <w:pPr>
        <w:spacing w:after="200" w:line="276" w:lineRule="auto"/>
        <w:rPr>
          <w:rFonts w:ascii="Calibri" w:eastAsia="Times New Roman" w:hAnsi="Calibri" w:cs="Times New Roman"/>
          <w:kern w:val="0"/>
          <w:lang w:eastAsia="bg-BG"/>
          <w14:ligatures w14:val="none"/>
        </w:rPr>
      </w:pPr>
      <w:r w:rsidRPr="00DA7993">
        <w:rPr>
          <w:rFonts w:ascii="Calibri" w:eastAsia="Times New Roman" w:hAnsi="Calibri" w:cs="Times New Roman"/>
          <w:kern w:val="0"/>
          <w:lang w:eastAsia="bg-BG"/>
          <w14:ligatures w14:val="none"/>
        </w:rPr>
        <w:tab/>
      </w:r>
      <w:r w:rsidRPr="00DA7993">
        <w:rPr>
          <w:rFonts w:ascii="Calibri" w:eastAsia="Times New Roman" w:hAnsi="Calibri" w:cs="Times New Roman"/>
          <w:kern w:val="0"/>
          <w:lang w:eastAsia="bg-BG"/>
          <w14:ligatures w14:val="none"/>
        </w:rPr>
        <w:tab/>
      </w:r>
      <w:r w:rsidRPr="00DA7993">
        <w:rPr>
          <w:rFonts w:ascii="Calibri" w:eastAsia="Times New Roman" w:hAnsi="Calibri" w:cs="Times New Roman"/>
          <w:kern w:val="0"/>
          <w:lang w:eastAsia="bg-BG"/>
          <w14:ligatures w14:val="none"/>
        </w:rPr>
        <w:tab/>
      </w:r>
      <w:r w:rsidRPr="00DA7993">
        <w:rPr>
          <w:rFonts w:ascii="Calibri" w:eastAsia="Times New Roman" w:hAnsi="Calibri" w:cs="Times New Roman"/>
          <w:kern w:val="0"/>
          <w:lang w:eastAsia="bg-BG"/>
          <w14:ligatures w14:val="none"/>
        </w:rPr>
        <w:tab/>
      </w:r>
      <w:r w:rsidRPr="00DA7993">
        <w:rPr>
          <w:rFonts w:ascii="Calibri" w:eastAsia="Times New Roman" w:hAnsi="Calibri" w:cs="Times New Roman"/>
          <w:kern w:val="0"/>
          <w:lang w:eastAsia="bg-BG"/>
          <w14:ligatures w14:val="none"/>
        </w:rPr>
        <w:tab/>
      </w:r>
      <w:r w:rsidRPr="00DA7993">
        <w:rPr>
          <w:rFonts w:ascii="Calibri" w:eastAsia="Times New Roman" w:hAnsi="Calibri" w:cs="Times New Roman"/>
          <w:kern w:val="0"/>
          <w:lang w:eastAsia="bg-BG"/>
          <w14:ligatures w14:val="none"/>
        </w:rPr>
        <w:tab/>
      </w:r>
    </w:p>
    <w:p w14:paraId="6902567A" w14:textId="312337D7" w:rsidR="00DA7993" w:rsidRPr="00DA7993" w:rsidRDefault="00DA7993" w:rsidP="00DA7993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КОНСПЕКТ ПО МАШИНИ И СЪОРЪЖЕНИЯ ЗА ЗАВАРЯВАНЕ ЗА </w:t>
      </w:r>
      <w:r w:rsidRPr="00DA7993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bg-BG"/>
          <w14:ligatures w14:val="none"/>
        </w:rPr>
        <w:t>IX</w:t>
      </w:r>
      <w:r w:rsidRPr="00DA79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 xml:space="preserve">  КЛАС</w:t>
      </w:r>
    </w:p>
    <w:p w14:paraId="19BC6389" w14:textId="77777777" w:rsidR="00DA7993" w:rsidRPr="00DA7993" w:rsidRDefault="00DA7993" w:rsidP="00DA799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специалност: „Автотранспортна техника”</w:t>
      </w:r>
    </w:p>
    <w:p w14:paraId="6B4330BF" w14:textId="77777777" w:rsidR="00DA7993" w:rsidRPr="00DA7993" w:rsidRDefault="00DA7993" w:rsidP="00DA799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форма на обучение: дневна/ самостоятелна</w:t>
      </w:r>
    </w:p>
    <w:p w14:paraId="0BB1EF26" w14:textId="77777777" w:rsidR="00DA7993" w:rsidRPr="00DA7993" w:rsidRDefault="00DA7993" w:rsidP="00DA7993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9BAEA85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І. Заваръчни процеси и обзавеждане.</w:t>
      </w:r>
    </w:p>
    <w:p w14:paraId="62C3AD88" w14:textId="65C56590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Газо-кислородно заваряване.</w:t>
      </w:r>
    </w:p>
    <w:p w14:paraId="07E5239C" w14:textId="60D634CE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Електрическа дъга.</w:t>
      </w:r>
    </w:p>
    <w:p w14:paraId="7C93CC0B" w14:textId="14B4A778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Източници на ток за електродъгово заваряване.</w:t>
      </w:r>
    </w:p>
    <w:p w14:paraId="4D07C0ED" w14:textId="718957E5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Ръчно електродъгово заваряване.</w:t>
      </w:r>
    </w:p>
    <w:p w14:paraId="3D81128C" w14:textId="5200731E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Въведение в електродъговото заваряване в защитна газова среда 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ЕДЗЗГС.</w:t>
      </w:r>
    </w:p>
    <w:p w14:paraId="1BB16585" w14:textId="764D1B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ЕДЗЗГС с нетопящ се електрод (ВИГ-заваряване).</w:t>
      </w:r>
    </w:p>
    <w:p w14:paraId="7F905EED" w14:textId="07238EB5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7.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ЕДЗЗГС с топящ се електрод (МИГ/МАГ-заваряване).</w:t>
      </w:r>
    </w:p>
    <w:p w14:paraId="6096B277" w14:textId="7A266D92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8.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Подфлюсово заваряване.</w:t>
      </w:r>
    </w:p>
    <w:p w14:paraId="10496F8D" w14:textId="2F46869B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9.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Електросъпротивително заваряване.</w:t>
      </w:r>
    </w:p>
    <w:p w14:paraId="6C493269" w14:textId="3FA6B8DB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10.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Други заваръчни процеси.</w:t>
      </w:r>
    </w:p>
    <w:p w14:paraId="4F1FDD34" w14:textId="7A0E8D82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Термично рязане и други процеси за подготовка на заваръчните краища.</w:t>
      </w:r>
    </w:p>
    <w:p w14:paraId="147605DC" w14:textId="1B57C045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Механизирано, автоматизирано и роботизирано заваряване.</w:t>
      </w:r>
    </w:p>
    <w:p w14:paraId="0ECB86F7" w14:textId="1077DD4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13.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Спояване.</w:t>
      </w:r>
    </w:p>
    <w:p w14:paraId="3105747E" w14:textId="6170A7D6" w:rsid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Заваряване на пластмаси.</w:t>
      </w:r>
    </w:p>
    <w:p w14:paraId="6BD81B01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3952D98B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ІІ. Материали и тяхното поведение при заваряване.</w:t>
      </w:r>
    </w:p>
    <w:p w14:paraId="3A70862F" w14:textId="5C90E96D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Струтуктура на завареното съединение. Пукнатинообразуване в заварените съединения.</w:t>
      </w:r>
    </w:p>
    <w:p w14:paraId="09D88701" w14:textId="3E57E260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Заваряемост и  заваропригодност  металите.  </w:t>
      </w:r>
    </w:p>
    <w:p w14:paraId="52BFE13E" w14:textId="4C94464E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3.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Заваропригодност на въглеродните стомани..     </w:t>
      </w:r>
    </w:p>
    <w:p w14:paraId="2630E3FD" w14:textId="6F59F879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4.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Заваропригодност на легирани стомани.</w:t>
      </w:r>
    </w:p>
    <w:p w14:paraId="3CA719EE" w14:textId="699E2780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Заваропригодност на  чугуни.</w:t>
      </w:r>
    </w:p>
    <w:p w14:paraId="719AA210" w14:textId="735E48EA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6.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Заваропригодност на мед и медни сплави.</w:t>
      </w:r>
    </w:p>
    <w:p w14:paraId="54484183" w14:textId="03203D09" w:rsid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7.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Заваропригодност на алуминий и алуминиеви сплави.</w:t>
      </w:r>
    </w:p>
    <w:p w14:paraId="49B52E71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306289C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ІІІ. Заварени конструкции и якост.</w:t>
      </w:r>
    </w:p>
    <w:p w14:paraId="4E50E9B3" w14:textId="46C36EC5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Якостно оценяване на заварените съединения.</w:t>
      </w:r>
    </w:p>
    <w:p w14:paraId="112249C7" w14:textId="527D624B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Видове заварени конструкции.</w:t>
      </w:r>
    </w:p>
    <w:p w14:paraId="6B751149" w14:textId="2F30B236" w:rsid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lastRenderedPageBreak/>
        <w:t>3.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Конструктивно оформяне.</w:t>
      </w:r>
    </w:p>
    <w:p w14:paraId="59570982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5250DFE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ІV. Механизация и автоматизация на заваръчното производство.</w:t>
      </w:r>
    </w:p>
    <w:p w14:paraId="79966F1C" w14:textId="7B149411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Класификация на заваръчното обзавеждане.</w:t>
      </w:r>
    </w:p>
    <w:p w14:paraId="1B317AF6" w14:textId="5F815A31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Механизация и автоматизация на основните работи при електродъгово заваряване.</w:t>
      </w:r>
    </w:p>
    <w:p w14:paraId="5446F786" w14:textId="006DFA1F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Предпоставки за въвеждане на автоматизация в заваръчното производство.</w:t>
      </w:r>
    </w:p>
    <w:p w14:paraId="4192A672" w14:textId="16213575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Производствени заваръчни системи.</w:t>
      </w:r>
    </w:p>
    <w:p w14:paraId="32084A4B" w14:textId="130C73D8" w:rsid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Механизирани и автоматизирани поточни линии в заваръчното производство.</w:t>
      </w:r>
    </w:p>
    <w:p w14:paraId="1D57C270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0316E1C9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bg-BG"/>
          <w14:ligatures w14:val="none"/>
        </w:rPr>
        <w:t>V. Производство и осигуряване на качеството.</w:t>
      </w:r>
    </w:p>
    <w:p w14:paraId="1FE09AE3" w14:textId="4ACB0A05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Контрол на качеството по време на производството.</w:t>
      </w:r>
    </w:p>
    <w:p w14:paraId="06A2B928" w14:textId="721418C3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2. Неразрушаващ  и разрушаващ контрол.</w:t>
      </w:r>
    </w:p>
    <w:p w14:paraId="2BA5F0F9" w14:textId="092672E1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Заваръчни напрежения и деформации.</w:t>
      </w:r>
    </w:p>
    <w:p w14:paraId="181A5833" w14:textId="2311E028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Организация на контрола на заваръчните работи.</w:t>
      </w:r>
    </w:p>
    <w:p w14:paraId="45B66AE7" w14:textId="20CA3559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5.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 </w:t>
      </w: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Ремонтновъзстановително заваряване.</w:t>
      </w:r>
    </w:p>
    <w:p w14:paraId="022FF99C" w14:textId="086D4F28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6. Безопасност на труда и опазване на околната среда.</w:t>
      </w:r>
    </w:p>
    <w:p w14:paraId="05879969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3E150C6A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488A22FA" w14:textId="77777777" w:rsidR="00DA7993" w:rsidRPr="00DA7993" w:rsidRDefault="00DA7993" w:rsidP="00DA7993">
      <w:pPr>
        <w:spacing w:after="0" w:line="240" w:lineRule="auto"/>
        <w:ind w:firstLine="851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66CB1A0" w14:textId="77777777" w:rsidR="00DA7993" w:rsidRPr="00DA7993" w:rsidRDefault="00DA7993" w:rsidP="00DA7993">
      <w:pPr>
        <w:spacing w:after="0" w:line="240" w:lineRule="auto"/>
        <w:ind w:left="4536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Подготвил: ………………………..</w:t>
      </w:r>
    </w:p>
    <w:p w14:paraId="42E73B0A" w14:textId="77777777" w:rsidR="00DA7993" w:rsidRPr="00DA7993" w:rsidRDefault="00DA7993" w:rsidP="00DA7993">
      <w:pPr>
        <w:spacing w:after="0" w:line="240" w:lineRule="auto"/>
        <w:ind w:left="4536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DA799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                             /инж. Г. Анастасов/</w:t>
      </w:r>
    </w:p>
    <w:p w14:paraId="49628D6B" w14:textId="4C0AA05F" w:rsidR="009E7038" w:rsidRDefault="00872B91" w:rsidP="00DA7993">
      <w:pPr>
        <w:spacing w:after="0" w:line="20" w:lineRule="atLeast"/>
        <w:ind w:left="5103"/>
        <w:rPr>
          <w:rFonts w:ascii="Times New Roman" w:hAnsi="Times New Roman" w:cs="Times New Roman"/>
          <w:b/>
          <w:bCs/>
          <w:lang w:val="it-IT"/>
        </w:rPr>
      </w:pPr>
      <w:r w:rsidRPr="00872B91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bg-BG"/>
          <w14:ligatures w14:val="none"/>
        </w:rPr>
        <w:t xml:space="preserve"> </w:t>
      </w:r>
    </w:p>
    <w:p w14:paraId="64D82C6B" w14:textId="77777777" w:rsidR="009E7038" w:rsidRPr="009E7038" w:rsidRDefault="009E7038" w:rsidP="00872B91">
      <w:pPr>
        <w:ind w:firstLine="851"/>
      </w:pPr>
    </w:p>
    <w:sectPr w:rsidR="009E7038" w:rsidRPr="009E7038" w:rsidSect="00872B91">
      <w:headerReference w:type="default" r:id="rId7"/>
      <w:pgSz w:w="11906" w:h="16838" w:code="9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DF46" w14:textId="77777777" w:rsidR="004028CD" w:rsidRDefault="004028CD" w:rsidP="004662B6">
      <w:pPr>
        <w:spacing w:after="0" w:line="240" w:lineRule="auto"/>
      </w:pPr>
      <w:r>
        <w:separator/>
      </w:r>
    </w:p>
  </w:endnote>
  <w:endnote w:type="continuationSeparator" w:id="0">
    <w:p w14:paraId="2AC314D9" w14:textId="77777777" w:rsidR="004028CD" w:rsidRDefault="004028CD" w:rsidP="0046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06611" w14:textId="77777777" w:rsidR="004028CD" w:rsidRDefault="004028CD" w:rsidP="004662B6">
      <w:pPr>
        <w:spacing w:after="0" w:line="240" w:lineRule="auto"/>
      </w:pPr>
      <w:r>
        <w:separator/>
      </w:r>
    </w:p>
  </w:footnote>
  <w:footnote w:type="continuationSeparator" w:id="0">
    <w:p w14:paraId="6437891F" w14:textId="77777777" w:rsidR="004028CD" w:rsidRDefault="004028CD" w:rsidP="0046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4662B6" w:rsidRPr="000140B5" w14:paraId="3A917ABB" w14:textId="77777777" w:rsidTr="002D0BB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7BF329A4" w14:textId="4BC945D1" w:rsidR="004662B6" w:rsidRPr="000140B5" w:rsidRDefault="000140B5" w:rsidP="004662B6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 xml:space="preserve">ИНОВАТИВНА </w:t>
          </w:r>
          <w:r w:rsidR="004662B6"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ПРОФЕСИОНАЛНА ГИМНАЗИЯ ПО  МЕХАНОЕЛЕКТРОТЕХНИКА “ЮРИЙ ГАГАРИН”</w:t>
          </w:r>
        </w:p>
      </w:tc>
    </w:tr>
  </w:tbl>
  <w:p w14:paraId="7A1E1F0A" w14:textId="1D3AAEBC" w:rsidR="004662B6" w:rsidRPr="004662B6" w:rsidRDefault="004662B6" w:rsidP="004662B6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2BB228F8" wp14:editId="196AEA7B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745020091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523F66AB" wp14:editId="0BE7371E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77616458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гр</w:t>
    </w:r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e"/>
          <w:rFonts w:ascii="Times New Roman" w:hAnsi="Times New Roman" w:cs="Times New Roman"/>
          <w:b/>
          <w:bCs/>
          <w:lang w:val="ru-RU"/>
        </w:rPr>
        <w:t>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pgmet</w:t>
      </w:r>
      <w:r w:rsidRPr="001B5ABF">
        <w:rPr>
          <w:rStyle w:val="ae"/>
          <w:rFonts w:ascii="Times New Roman" w:hAnsi="Times New Roman" w:cs="Times New Roman"/>
          <w:b/>
          <w:bCs/>
        </w:rPr>
        <w:t>1.</w:t>
      </w:r>
      <w:r w:rsidRPr="001B5ABF">
        <w:rPr>
          <w:rStyle w:val="ae"/>
          <w:rFonts w:ascii="Times New Roman" w:hAnsi="Times New Roman" w:cs="Times New Roman"/>
          <w:b/>
          <w:bCs/>
          <w:lang w:val="en-US"/>
        </w:rPr>
        <w:t>com</w:t>
      </w:r>
    </w:hyperlink>
  </w:p>
  <w:p w14:paraId="7099AAEE" w14:textId="53F4E290" w:rsidR="004662B6" w:rsidRPr="00132609" w:rsidRDefault="00132609" w:rsidP="004662B6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480F5" wp14:editId="7F6C2E92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B44824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="004662B6" w:rsidRPr="001B5ABF">
      <w:rPr>
        <w:rFonts w:ascii="Times New Roman" w:hAnsi="Times New Roman" w:cs="Times New Roman"/>
        <w:b/>
        <w:bCs/>
        <w:lang w:val="it-IT"/>
      </w:rPr>
      <w:t>e</w:t>
    </w:r>
    <w:r w:rsidR="004662B6" w:rsidRPr="001B5ABF">
      <w:rPr>
        <w:rFonts w:ascii="Times New Roman" w:hAnsi="Times New Roman" w:cs="Times New Roman"/>
        <w:b/>
        <w:bCs/>
        <w:lang w:val="ru-RU"/>
      </w:rPr>
      <w:t>-</w:t>
    </w:r>
    <w:r w:rsidR="004662B6" w:rsidRPr="001B5ABF">
      <w:rPr>
        <w:rFonts w:ascii="Times New Roman" w:hAnsi="Times New Roman" w:cs="Times New Roman"/>
        <w:b/>
        <w:bCs/>
        <w:lang w:val="it-IT"/>
      </w:rPr>
      <w:t>mail</w:t>
    </w:r>
    <w:r w:rsidR="004662B6" w:rsidRPr="001B5ABF">
      <w:rPr>
        <w:rFonts w:ascii="Times New Roman" w:hAnsi="Times New Roman" w:cs="Times New Roman"/>
        <w:b/>
        <w:bCs/>
        <w:lang w:val="ru-RU"/>
      </w:rPr>
      <w:t>:</w:t>
    </w:r>
    <w:r w:rsidR="004662B6" w:rsidRPr="001B5ABF">
      <w:rPr>
        <w:rFonts w:ascii="Times New Roman" w:hAnsi="Times New Roman" w:cs="Times New Roman"/>
        <w:lang w:val="ru-RU"/>
      </w:rPr>
      <w:t xml:space="preserve"> </w:t>
    </w:r>
    <w:r w:rsidR="004662B6" w:rsidRPr="001B5ABF">
      <w:rPr>
        <w:rFonts w:ascii="Times New Roman" w:hAnsi="Times New Roman" w:cs="Times New Roman"/>
        <w:b/>
        <w:bCs/>
        <w:lang w:val="it-IT"/>
      </w:rPr>
      <w:t>info</w:t>
    </w:r>
    <w:r w:rsidR="004662B6" w:rsidRPr="001B5ABF">
      <w:rPr>
        <w:rFonts w:ascii="Times New Roman" w:hAnsi="Times New Roman" w:cs="Times New Roman"/>
        <w:b/>
        <w:bCs/>
        <w:lang w:val="ru-RU"/>
      </w:rPr>
      <w:t>-102009@</w:t>
    </w:r>
    <w:r w:rsidR="004662B6" w:rsidRPr="001B5ABF">
      <w:rPr>
        <w:rFonts w:ascii="Times New Roman" w:hAnsi="Times New Roman" w:cs="Times New Roman"/>
        <w:b/>
        <w:bCs/>
        <w:lang w:val="it-IT"/>
      </w:rPr>
      <w:t>edu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mon</w:t>
    </w:r>
    <w:r w:rsidR="004662B6" w:rsidRPr="001B5ABF">
      <w:rPr>
        <w:rFonts w:ascii="Times New Roman" w:hAnsi="Times New Roman" w:cs="Times New Roman"/>
        <w:b/>
        <w:bCs/>
        <w:lang w:val="ru-RU"/>
      </w:rPr>
      <w:t>.</w:t>
    </w:r>
    <w:r w:rsidR="004662B6" w:rsidRPr="001B5ABF">
      <w:rPr>
        <w:rFonts w:ascii="Times New Roman" w:hAnsi="Times New Roman" w:cs="Times New Roman"/>
        <w:b/>
        <w:bCs/>
        <w:lang w:val="it-IT"/>
      </w:rPr>
      <w:t>bg   </w:t>
    </w:r>
  </w:p>
  <w:p w14:paraId="3AF96233" w14:textId="77777777" w:rsidR="004662B6" w:rsidRPr="00132609" w:rsidRDefault="004662B6">
    <w:pPr>
      <w:pStyle w:val="af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D477F"/>
    <w:multiLevelType w:val="hybridMultilevel"/>
    <w:tmpl w:val="1A4AF7E0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613977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2B6"/>
    <w:rsid w:val="000140B5"/>
    <w:rsid w:val="00093402"/>
    <w:rsid w:val="00132609"/>
    <w:rsid w:val="004028CD"/>
    <w:rsid w:val="004662B6"/>
    <w:rsid w:val="007D3369"/>
    <w:rsid w:val="00872B91"/>
    <w:rsid w:val="008A340C"/>
    <w:rsid w:val="009E12FC"/>
    <w:rsid w:val="009E7038"/>
    <w:rsid w:val="00A578A5"/>
    <w:rsid w:val="00A63F7C"/>
    <w:rsid w:val="00DA7993"/>
    <w:rsid w:val="00DF42E8"/>
    <w:rsid w:val="00E64173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7EECE"/>
  <w15:chartTrackingRefBased/>
  <w15:docId w15:val="{3AEACA11-A58F-4BF5-8106-9FD15BBC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038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9E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E703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9E703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9E7038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9E7038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9E7038"/>
    <w:rPr>
      <w:rFonts w:eastAsiaTheme="majorEastAsia" w:cstheme="majorBidi"/>
      <w:color w:val="2F5496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9E7038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9E7038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9E7038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9E7038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9E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9E7038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9E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9E7038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9E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9E7038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9E7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9E7038"/>
    <w:rPr>
      <w:i/>
      <w:iCs/>
      <w:color w:val="2F5496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9E703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E703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E703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4662B6"/>
    <w:rPr>
      <w:lang w:val="bg-BG"/>
    </w:rPr>
  </w:style>
  <w:style w:type="paragraph" w:styleId="af2">
    <w:name w:val="footer"/>
    <w:basedOn w:val="a"/>
    <w:link w:val="af3"/>
    <w:uiPriority w:val="99"/>
    <w:unhideWhenUsed/>
    <w:rsid w:val="0046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4662B6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MET%20-%20Trendafilova\Downloads\&#1055;&#1056;&#1054;&#1060;&#1045;&#1057;&#1048;&#1054;&#1053;&#1040;&#1051;&#1053;&#1040;%20&#1043;&#1048;&#1052;&#1053;&#1040;&#1047;&#1048;&#1071;%20&#1051;&#1054;&#1043;&#1054;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ПРОФЕСИОНАЛНА ГИМНАЗИЯ ЛОГО 1</Template>
  <TotalTime>12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PGMET - Trendafilova</dc:creator>
  <cp:keywords/>
  <dc:description/>
  <cp:lastModifiedBy>Йорданка Г. Конева</cp:lastModifiedBy>
  <cp:revision>4</cp:revision>
  <cp:lastPrinted>2025-10-13T07:39:00Z</cp:lastPrinted>
  <dcterms:created xsi:type="dcterms:W3CDTF">2025-10-13T07:31:00Z</dcterms:created>
  <dcterms:modified xsi:type="dcterms:W3CDTF">2026-02-25T10:01:00Z</dcterms:modified>
</cp:coreProperties>
</file>